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493C0747" w:rsidR="00624A55" w:rsidRPr="008F3D35" w:rsidRDefault="00AF5B18" w:rsidP="008F3D35">
      <w:pPr>
        <w:pStyle w:val="Heading1"/>
      </w:pPr>
      <w:r>
        <w:rPr>
          <w:lang w:val="en-AU"/>
        </w:rPr>
        <w:t>Mathematics Online Interview</w:t>
      </w:r>
      <w:r w:rsidR="00E076C2">
        <w:rPr>
          <w:lang w:val="en-AU"/>
        </w:rPr>
        <w:t xml:space="preserve"> (MOI)</w:t>
      </w:r>
      <w:r>
        <w:rPr>
          <w:lang w:val="en-AU"/>
        </w:rPr>
        <w:t xml:space="preserve"> - </w:t>
      </w:r>
      <w:r w:rsidR="00946FE6">
        <w:rPr>
          <w:lang w:val="en-AU"/>
        </w:rPr>
        <w:t xml:space="preserve">Information </w:t>
      </w:r>
      <w:r>
        <w:rPr>
          <w:lang w:val="en-AU"/>
        </w:rPr>
        <w:t xml:space="preserve">Guide </w:t>
      </w:r>
    </w:p>
    <w:p w14:paraId="5347D35E" w14:textId="77777777" w:rsidR="00BA0A1A" w:rsidRPr="00624A55" w:rsidRDefault="00BA0A1A" w:rsidP="00BA0A1A">
      <w:pPr>
        <w:pStyle w:val="Intro"/>
      </w:pPr>
      <w:r>
        <w:t>For information on the Mathematics Online Interview (MOI), its structure and alignment with the Framework for Improving Student Outcomes (FISO 2.0)</w:t>
      </w:r>
    </w:p>
    <w:p w14:paraId="6E6868DC" w14:textId="17993D36" w:rsidR="00624A55" w:rsidRPr="00624A55" w:rsidRDefault="00AF5B18" w:rsidP="00C92AA1">
      <w:pPr>
        <w:pStyle w:val="Heading2"/>
        <w:spacing w:before="240"/>
        <w:rPr>
          <w:lang w:val="en-AU"/>
        </w:rPr>
      </w:pPr>
      <w:r>
        <w:rPr>
          <w:lang w:val="en-AU"/>
        </w:rPr>
        <w:t xml:space="preserve">What is MOI? </w:t>
      </w:r>
    </w:p>
    <w:p w14:paraId="64EA758F" w14:textId="5C933965" w:rsidR="00AF5B18" w:rsidRDefault="00AF5B18" w:rsidP="00AF5B18">
      <w:pPr>
        <w:rPr>
          <w:lang w:val="en-AU"/>
        </w:rPr>
      </w:pPr>
      <w:r w:rsidRPr="00F00CAC">
        <w:rPr>
          <w:lang w:val="en-AU"/>
        </w:rPr>
        <w:t xml:space="preserve">The Mathematics Online Interview (MOI) is an online tool for assessing the mathematical understanding of students in the early years of schooling. The Interview assesses students’ knowledge, </w:t>
      </w:r>
      <w:proofErr w:type="gramStart"/>
      <w:r w:rsidRPr="00F00CAC">
        <w:rPr>
          <w:lang w:val="en-AU"/>
        </w:rPr>
        <w:t>skills</w:t>
      </w:r>
      <w:proofErr w:type="gramEnd"/>
      <w:r w:rsidRPr="00F00CAC">
        <w:rPr>
          <w:lang w:val="en-AU"/>
        </w:rPr>
        <w:t xml:space="preserve"> and strategies in relation to key ‘growth points’ in the strands of Number and Algebra, </w:t>
      </w:r>
      <w:r w:rsidR="00F86A1F">
        <w:rPr>
          <w:lang w:val="en-AU"/>
        </w:rPr>
        <w:t xml:space="preserve">and </w:t>
      </w:r>
      <w:r w:rsidRPr="00F00CAC">
        <w:rPr>
          <w:lang w:val="en-AU"/>
        </w:rPr>
        <w:t xml:space="preserve">Measurement and Geometry. </w:t>
      </w:r>
    </w:p>
    <w:p w14:paraId="11ACD83A" w14:textId="2DF23110" w:rsidR="00AF5B18" w:rsidRDefault="00AF5B18" w:rsidP="00AF5B18">
      <w:pPr>
        <w:jc w:val="both"/>
        <w:rPr>
          <w:lang w:val="en-AU"/>
        </w:rPr>
      </w:pPr>
      <w:r w:rsidRPr="004433D4">
        <w:rPr>
          <w:lang w:val="en-AU"/>
        </w:rPr>
        <w:t xml:space="preserve">MOI </w:t>
      </w:r>
      <w:r>
        <w:rPr>
          <w:lang w:val="en-AU"/>
        </w:rPr>
        <w:t>has been</w:t>
      </w:r>
      <w:r w:rsidRPr="004433D4">
        <w:rPr>
          <w:lang w:val="en-AU"/>
        </w:rPr>
        <w:t xml:space="preserve"> developed from the Early Numeracy Research Project (ENRP), commissioned by the Department of Education, Employment and Training (1999 – 2001). Through the ENRP, a framework of growth in numeracy learning was created to provide a means of tracking student learning.</w:t>
      </w:r>
    </w:p>
    <w:p w14:paraId="3F50F713" w14:textId="3B3F01F2" w:rsidR="00B928A6" w:rsidRPr="004433D4" w:rsidRDefault="00B928A6" w:rsidP="00AF5B18">
      <w:pPr>
        <w:jc w:val="both"/>
        <w:rPr>
          <w:lang w:val="en-AU"/>
        </w:rPr>
      </w:pPr>
      <w:r>
        <w:rPr>
          <w:lang w:val="en-AU"/>
        </w:rPr>
        <w:t xml:space="preserve">MOI is a branched assessment tool, </w:t>
      </w:r>
      <w:r w:rsidR="00F7089F">
        <w:rPr>
          <w:lang w:val="en-AU"/>
        </w:rPr>
        <w:t>where an algorithm determines a student’s pathway through an overall assessment based on their performance on each small group of items</w:t>
      </w:r>
      <w:r w:rsidR="003E163C">
        <w:rPr>
          <w:lang w:val="en-AU"/>
        </w:rPr>
        <w:t xml:space="preserve">, enabling </w:t>
      </w:r>
      <w:r w:rsidR="00381EE8">
        <w:rPr>
          <w:lang w:val="en-AU"/>
        </w:rPr>
        <w:t>finer grained information about individual student</w:t>
      </w:r>
      <w:r w:rsidR="00DF1F08">
        <w:rPr>
          <w:lang w:val="en-AU"/>
        </w:rPr>
        <w:t xml:space="preserve"> achievement and helps to identify misconceptions or gaps of student learning </w:t>
      </w:r>
      <w:r w:rsidR="00381EE8">
        <w:rPr>
          <w:lang w:val="en-AU"/>
        </w:rPr>
        <w:t xml:space="preserve">in mathematics. </w:t>
      </w:r>
    </w:p>
    <w:p w14:paraId="2EEFE46A" w14:textId="24E2AD68" w:rsidR="00AF5B18" w:rsidRDefault="00AF5B18" w:rsidP="00AF5B18">
      <w:pPr>
        <w:rPr>
          <w:lang w:val="en-AU"/>
        </w:rPr>
      </w:pPr>
      <w:r>
        <w:t>The Interview primarily targets students in the early years of schooling however it may also be used as an assessment tool for ‘at risk’ students in middle to upper primary levels</w:t>
      </w:r>
      <w:r>
        <w:rPr>
          <w:lang w:val="en-AU"/>
        </w:rPr>
        <w:t>.</w:t>
      </w:r>
      <w:r w:rsidR="009D310F">
        <w:rPr>
          <w:lang w:val="en-AU"/>
        </w:rPr>
        <w:t xml:space="preserve"> </w:t>
      </w:r>
      <w:r w:rsidRPr="00F00CAC">
        <w:rPr>
          <w:lang w:val="en-AU"/>
        </w:rPr>
        <w:t>Teachers record student responses directly into the online system, which can generate a range of profiles of student under</w:t>
      </w:r>
      <w:r>
        <w:rPr>
          <w:lang w:val="en-AU"/>
        </w:rPr>
        <w:t xml:space="preserve">standing, organised around the </w:t>
      </w:r>
      <w:r w:rsidRPr="00F00CAC">
        <w:rPr>
          <w:lang w:val="en-AU"/>
        </w:rPr>
        <w:t>growth points. These profiles provide information for teachers in planning to meet student learning needs.</w:t>
      </w:r>
    </w:p>
    <w:p w14:paraId="609445B4" w14:textId="77777777" w:rsidR="00660FB7" w:rsidRPr="00023A81" w:rsidRDefault="00660FB7" w:rsidP="00AF5B18">
      <w:pPr>
        <w:rPr>
          <w:sz w:val="12"/>
          <w:szCs w:val="14"/>
          <w:lang w:val="en-AU"/>
        </w:rPr>
      </w:pPr>
    </w:p>
    <w:p w14:paraId="6B714828" w14:textId="6A2AB24C" w:rsidR="00624A55" w:rsidRPr="00624A55" w:rsidRDefault="00AF5B18" w:rsidP="00660FB7">
      <w:pPr>
        <w:pStyle w:val="Heading2"/>
        <w:rPr>
          <w:lang w:val="en-AU"/>
        </w:rPr>
      </w:pPr>
      <w:r>
        <w:rPr>
          <w:lang w:val="en-AU"/>
        </w:rPr>
        <w:t>Structure of the Interview</w:t>
      </w:r>
    </w:p>
    <w:p w14:paraId="580DB4A9" w14:textId="4387C4D3" w:rsidR="00AF5B18" w:rsidRDefault="00AF5B18" w:rsidP="00AF5B18">
      <w:pPr>
        <w:rPr>
          <w:lang w:val="en-AU"/>
        </w:rPr>
      </w:pPr>
      <w:r w:rsidRPr="00F00CAC">
        <w:rPr>
          <w:lang w:val="en-AU"/>
        </w:rPr>
        <w:t xml:space="preserve">The assessment takes the form of a one-to-one </w:t>
      </w:r>
      <w:r w:rsidR="009D310F" w:rsidRPr="00F00CAC">
        <w:rPr>
          <w:lang w:val="en-AU"/>
        </w:rPr>
        <w:t>interview and</w:t>
      </w:r>
      <w:r w:rsidRPr="00F00CAC">
        <w:rPr>
          <w:lang w:val="en-AU"/>
        </w:rPr>
        <w:t xml:space="preserve"> consists of 77 questions. Students are engaged in hands-on assessment tasks where they demonstrate mathematical understanding and strategies for solving increasingly complex tasks. The assessment takes approximately 30 to 45 minutes to administer.</w:t>
      </w:r>
    </w:p>
    <w:p w14:paraId="20D88D90" w14:textId="77777777" w:rsidR="00AF5B18" w:rsidRPr="004433D4" w:rsidRDefault="00AF5B18" w:rsidP="00AF5B18">
      <w:pPr>
        <w:jc w:val="both"/>
        <w:rPr>
          <w:lang w:val="en-AU"/>
        </w:rPr>
      </w:pPr>
      <w:r w:rsidRPr="004433D4">
        <w:rPr>
          <w:lang w:val="en-AU"/>
        </w:rPr>
        <w:t xml:space="preserve">An ongoing record of student assessment and achievement data recorded through the online interview supports monitoring of student learning and progress over time.  </w:t>
      </w:r>
    </w:p>
    <w:p w14:paraId="2EBBA2CF" w14:textId="77777777" w:rsidR="00AF5B18" w:rsidRPr="004433D4" w:rsidRDefault="00AF5B18" w:rsidP="00AF5B18">
      <w:pPr>
        <w:jc w:val="both"/>
        <w:rPr>
          <w:lang w:val="en-AU"/>
        </w:rPr>
      </w:pPr>
      <w:r w:rsidRPr="004433D4">
        <w:rPr>
          <w:lang w:val="en-AU"/>
        </w:rPr>
        <w:t>Sections of the Interview are as follows:</w:t>
      </w:r>
    </w:p>
    <w:p w14:paraId="52641A1F" w14:textId="77777777" w:rsidR="00AF5B18" w:rsidRDefault="00AF5B18" w:rsidP="00AF5B18">
      <w:pPr>
        <w:pStyle w:val="ListParagraph"/>
        <w:numPr>
          <w:ilvl w:val="0"/>
          <w:numId w:val="19"/>
        </w:numPr>
        <w:spacing w:line="240" w:lineRule="atLeast"/>
        <w:jc w:val="both"/>
        <w:rPr>
          <w:lang w:val="en-AU"/>
        </w:rPr>
      </w:pPr>
      <w:r w:rsidRPr="00AF5B18">
        <w:rPr>
          <w:lang w:val="en-AU"/>
        </w:rPr>
        <w:t>Section A: Counting</w:t>
      </w:r>
    </w:p>
    <w:p w14:paraId="138A5745" w14:textId="77777777" w:rsidR="00AF5B18" w:rsidRDefault="00AF5B18" w:rsidP="00354B1B">
      <w:pPr>
        <w:pStyle w:val="ListParagraph"/>
        <w:numPr>
          <w:ilvl w:val="0"/>
          <w:numId w:val="19"/>
        </w:numPr>
        <w:spacing w:line="240" w:lineRule="atLeast"/>
        <w:jc w:val="both"/>
        <w:rPr>
          <w:lang w:val="en-AU"/>
        </w:rPr>
      </w:pPr>
      <w:r w:rsidRPr="00AF5B18">
        <w:rPr>
          <w:lang w:val="en-AU"/>
        </w:rPr>
        <w:t>Section B: Place Value</w:t>
      </w:r>
    </w:p>
    <w:p w14:paraId="3448CBAD" w14:textId="672F101F" w:rsidR="00AF5B18" w:rsidRPr="00AF5B18" w:rsidRDefault="00AF5B18" w:rsidP="00354B1B">
      <w:pPr>
        <w:pStyle w:val="ListParagraph"/>
        <w:numPr>
          <w:ilvl w:val="0"/>
          <w:numId w:val="19"/>
        </w:numPr>
        <w:spacing w:line="240" w:lineRule="atLeast"/>
        <w:jc w:val="both"/>
        <w:rPr>
          <w:lang w:val="en-AU"/>
        </w:rPr>
      </w:pPr>
      <w:r w:rsidRPr="00AF5B18">
        <w:rPr>
          <w:lang w:val="en-AU"/>
        </w:rPr>
        <w:t>Section C: Addition and Subtraction</w:t>
      </w:r>
    </w:p>
    <w:p w14:paraId="67BA8B01" w14:textId="77777777" w:rsidR="00AF5B18" w:rsidRPr="004433D4" w:rsidRDefault="00AF5B18" w:rsidP="00AF5B18">
      <w:pPr>
        <w:pStyle w:val="ListParagraph"/>
        <w:numPr>
          <w:ilvl w:val="0"/>
          <w:numId w:val="19"/>
        </w:numPr>
        <w:spacing w:line="240" w:lineRule="atLeast"/>
        <w:jc w:val="both"/>
        <w:rPr>
          <w:lang w:val="en-AU"/>
        </w:rPr>
      </w:pPr>
      <w:r w:rsidRPr="004433D4">
        <w:rPr>
          <w:lang w:val="en-AU"/>
        </w:rPr>
        <w:t>Section D: Multiplication and Division</w:t>
      </w:r>
    </w:p>
    <w:p w14:paraId="7A73996D" w14:textId="77777777" w:rsidR="00AF5B18" w:rsidRPr="004433D4" w:rsidRDefault="00AF5B18" w:rsidP="00AF5B18">
      <w:pPr>
        <w:pStyle w:val="ListParagraph"/>
        <w:numPr>
          <w:ilvl w:val="0"/>
          <w:numId w:val="19"/>
        </w:numPr>
        <w:spacing w:line="240" w:lineRule="atLeast"/>
        <w:jc w:val="both"/>
        <w:rPr>
          <w:lang w:val="en-AU"/>
        </w:rPr>
      </w:pPr>
      <w:r w:rsidRPr="004433D4">
        <w:rPr>
          <w:lang w:val="en-AU"/>
        </w:rPr>
        <w:t>Section E: Time</w:t>
      </w:r>
    </w:p>
    <w:p w14:paraId="3FD1D24C" w14:textId="77777777" w:rsidR="00AF5B18" w:rsidRPr="004433D4" w:rsidRDefault="00AF5B18" w:rsidP="00AF5B18">
      <w:pPr>
        <w:pStyle w:val="ListParagraph"/>
        <w:numPr>
          <w:ilvl w:val="0"/>
          <w:numId w:val="19"/>
        </w:numPr>
        <w:spacing w:line="240" w:lineRule="atLeast"/>
        <w:jc w:val="both"/>
        <w:rPr>
          <w:lang w:val="en-AU"/>
        </w:rPr>
      </w:pPr>
      <w:r w:rsidRPr="004433D4">
        <w:rPr>
          <w:lang w:val="en-AU"/>
        </w:rPr>
        <w:t>Section F: Length measurement</w:t>
      </w:r>
    </w:p>
    <w:p w14:paraId="6F7D966E" w14:textId="77777777" w:rsidR="00AF5B18" w:rsidRPr="004433D4" w:rsidRDefault="00AF5B18" w:rsidP="00AF5B18">
      <w:pPr>
        <w:pStyle w:val="ListParagraph"/>
        <w:numPr>
          <w:ilvl w:val="0"/>
          <w:numId w:val="19"/>
        </w:numPr>
        <w:spacing w:line="240" w:lineRule="atLeast"/>
        <w:jc w:val="both"/>
        <w:rPr>
          <w:lang w:val="en-AU"/>
        </w:rPr>
      </w:pPr>
      <w:r w:rsidRPr="004433D4">
        <w:rPr>
          <w:lang w:val="en-AU"/>
        </w:rPr>
        <w:t>Section G: Mass measurement</w:t>
      </w:r>
    </w:p>
    <w:p w14:paraId="4000FE96" w14:textId="77777777" w:rsidR="00AF5B18" w:rsidRPr="004433D4" w:rsidRDefault="00AF5B18" w:rsidP="00AF5B18">
      <w:pPr>
        <w:pStyle w:val="ListParagraph"/>
        <w:numPr>
          <w:ilvl w:val="0"/>
          <w:numId w:val="19"/>
        </w:numPr>
        <w:spacing w:line="240" w:lineRule="atLeast"/>
        <w:jc w:val="both"/>
        <w:rPr>
          <w:lang w:val="en-AU"/>
        </w:rPr>
      </w:pPr>
      <w:r w:rsidRPr="004433D4">
        <w:rPr>
          <w:lang w:val="en-AU"/>
        </w:rPr>
        <w:t>Section H: Properties of Shape</w:t>
      </w:r>
    </w:p>
    <w:p w14:paraId="01338774" w14:textId="77777777" w:rsidR="00AF5B18" w:rsidRPr="004433D4" w:rsidRDefault="00AF5B18" w:rsidP="00AF5B18">
      <w:pPr>
        <w:pStyle w:val="ListParagraph"/>
        <w:numPr>
          <w:ilvl w:val="0"/>
          <w:numId w:val="19"/>
        </w:numPr>
        <w:spacing w:line="240" w:lineRule="atLeast"/>
        <w:jc w:val="both"/>
        <w:rPr>
          <w:lang w:val="en-AU"/>
        </w:rPr>
      </w:pPr>
      <w:r w:rsidRPr="004433D4">
        <w:rPr>
          <w:lang w:val="en-AU"/>
        </w:rPr>
        <w:t>Section I: Visualisation</w:t>
      </w:r>
    </w:p>
    <w:p w14:paraId="30E02124" w14:textId="37192147" w:rsidR="00AF5B18" w:rsidRDefault="00265A07" w:rsidP="00AF5B18">
      <w:pPr>
        <w:pStyle w:val="ListParagraph"/>
        <w:numPr>
          <w:ilvl w:val="0"/>
          <w:numId w:val="19"/>
        </w:numPr>
        <w:spacing w:line="240" w:lineRule="atLeast"/>
        <w:jc w:val="both"/>
        <w:rPr>
          <w:lang w:val="en-AU"/>
        </w:rPr>
      </w:pPr>
      <w:r>
        <w:rPr>
          <w:lang w:val="en-AU"/>
        </w:rPr>
        <w:t xml:space="preserve">Foundation </w:t>
      </w:r>
      <w:r w:rsidR="00AF5B18" w:rsidRPr="004433D4">
        <w:rPr>
          <w:lang w:val="en-AU"/>
        </w:rPr>
        <w:t>Detour (for students in the first year of school)</w:t>
      </w:r>
    </w:p>
    <w:p w14:paraId="6581B85E" w14:textId="77777777" w:rsidR="0016287D" w:rsidRDefault="0016287D" w:rsidP="0016287D">
      <w:pPr>
        <w:pStyle w:val="FootnoteText"/>
        <w:ind w:right="4507"/>
        <w:rPr>
          <w:sz w:val="12"/>
          <w:szCs w:val="12"/>
        </w:rPr>
      </w:pPr>
    </w:p>
    <w:p w14:paraId="5BCB8FC5" w14:textId="51E6C81E" w:rsidR="00AF5B18" w:rsidRPr="00624A55" w:rsidRDefault="00AF5B18" w:rsidP="00660FB7">
      <w:pPr>
        <w:pStyle w:val="Heading2"/>
        <w:rPr>
          <w:lang w:val="en-AU"/>
        </w:rPr>
      </w:pPr>
      <w:r>
        <w:rPr>
          <w:lang w:val="en-AU"/>
        </w:rPr>
        <w:t xml:space="preserve">Insight Assessment Platform </w:t>
      </w:r>
    </w:p>
    <w:p w14:paraId="4C4846D2" w14:textId="1072BA50" w:rsidR="00AF5B18" w:rsidRPr="002E0966" w:rsidRDefault="00AF5B18" w:rsidP="00AF5B18">
      <w:pPr>
        <w:rPr>
          <w:lang w:val="en-AU"/>
        </w:rPr>
      </w:pPr>
      <w:r w:rsidRPr="002E0966">
        <w:rPr>
          <w:lang w:val="en-AU"/>
        </w:rPr>
        <w:t xml:space="preserve">The Insight Assessment Platform </w:t>
      </w:r>
      <w:r w:rsidR="006A1925">
        <w:rPr>
          <w:lang w:val="en-AU"/>
        </w:rPr>
        <w:t>aims to help</w:t>
      </w:r>
      <w:r>
        <w:rPr>
          <w:lang w:val="en-AU"/>
        </w:rPr>
        <w:t xml:space="preserve"> teachers assess</w:t>
      </w:r>
      <w:r w:rsidRPr="002E0966">
        <w:rPr>
          <w:lang w:val="en-AU"/>
        </w:rPr>
        <w:t xml:space="preserve"> the progress of all learners and to support more targeted teaching practices. </w:t>
      </w:r>
    </w:p>
    <w:p w14:paraId="0BD1C141" w14:textId="77777777" w:rsidR="00AF5B18" w:rsidRPr="002E0966" w:rsidRDefault="00AF5B18" w:rsidP="00AF5B18">
      <w:pPr>
        <w:rPr>
          <w:lang w:val="en-AU"/>
        </w:rPr>
      </w:pPr>
      <w:r w:rsidRPr="002E0966">
        <w:rPr>
          <w:lang w:val="en-AU"/>
        </w:rPr>
        <w:t xml:space="preserve">The Insight Assessment Platform has been run by the VCAA since August 2017 and provides a collection of quality online assessment instruments aligned to the Victorian Curriculum F – 10. </w:t>
      </w:r>
    </w:p>
    <w:p w14:paraId="08EFA1B9" w14:textId="1B932801" w:rsidR="00AF5B18" w:rsidRDefault="00AF5B18" w:rsidP="00AF5B18">
      <w:pPr>
        <w:rPr>
          <w:lang w:val="en-AU"/>
        </w:rPr>
      </w:pPr>
      <w:r w:rsidRPr="002E0966">
        <w:rPr>
          <w:lang w:val="en-AU"/>
        </w:rPr>
        <w:t xml:space="preserve">Insight supports high-quality assessment practices and provides teachers with specific information to target the learning needs of students through its powerful data analytics and instrument reporting capabilities. Students' assessment data can be reviewed by teachers for diagnostic, </w:t>
      </w:r>
      <w:proofErr w:type="gramStart"/>
      <w:r w:rsidRPr="002E0966">
        <w:rPr>
          <w:lang w:val="en-AU"/>
        </w:rPr>
        <w:t>formative</w:t>
      </w:r>
      <w:proofErr w:type="gramEnd"/>
      <w:r w:rsidRPr="002E0966">
        <w:rPr>
          <w:lang w:val="en-AU"/>
        </w:rPr>
        <w:t xml:space="preserve"> and summative assessments. </w:t>
      </w:r>
    </w:p>
    <w:p w14:paraId="77725C4B" w14:textId="1AF5A0D8" w:rsidR="00D83DC6" w:rsidRPr="002E0966" w:rsidRDefault="00252D68" w:rsidP="00AF5B18">
      <w:pPr>
        <w:rPr>
          <w:lang w:val="en-AU"/>
        </w:rPr>
      </w:pPr>
      <w:r>
        <w:rPr>
          <w:lang w:val="en-AU"/>
        </w:rPr>
        <w:t>F</w:t>
      </w:r>
      <w:r w:rsidR="00D83DC6">
        <w:rPr>
          <w:lang w:val="en-AU"/>
        </w:rPr>
        <w:t xml:space="preserve">or a full </w:t>
      </w:r>
      <w:r>
        <w:rPr>
          <w:lang w:val="en-AU"/>
        </w:rPr>
        <w:t>list of assessment instruments available on the Insight Assessment</w:t>
      </w:r>
      <w:r w:rsidR="00BF3E5A">
        <w:rPr>
          <w:lang w:val="en-AU"/>
        </w:rPr>
        <w:t xml:space="preserve"> Platform</w:t>
      </w:r>
      <w:r>
        <w:rPr>
          <w:lang w:val="en-AU"/>
        </w:rPr>
        <w:t xml:space="preserve">, please visit the </w:t>
      </w:r>
      <w:hyperlink r:id="rId11" w:history="1">
        <w:r w:rsidRPr="00064746">
          <w:rPr>
            <w:rStyle w:val="Hyperlink"/>
            <w:lang w:val="en-AU"/>
          </w:rPr>
          <w:t>VCAA website</w:t>
        </w:r>
      </w:hyperlink>
      <w:r>
        <w:rPr>
          <w:lang w:val="en-AU"/>
        </w:rPr>
        <w:t xml:space="preserve">. </w:t>
      </w:r>
    </w:p>
    <w:p w14:paraId="0F48C437" w14:textId="13B025DB" w:rsidR="00AF5B18" w:rsidRDefault="00AF5B18" w:rsidP="007D40FC">
      <w:pPr>
        <w:pStyle w:val="Copyrighttext"/>
      </w:pPr>
    </w:p>
    <w:p w14:paraId="25E73D52" w14:textId="001FA889" w:rsidR="00AF5B18" w:rsidRPr="00624A55" w:rsidRDefault="00E538F9" w:rsidP="00AF5B18">
      <w:pPr>
        <w:pStyle w:val="Heading2"/>
        <w:rPr>
          <w:lang w:val="en-AU"/>
        </w:rPr>
      </w:pPr>
      <w:r>
        <w:rPr>
          <w:noProof/>
        </w:rPr>
        <w:drawing>
          <wp:anchor distT="0" distB="0" distL="114300" distR="114300" simplePos="0" relativeHeight="251659776" behindDoc="1" locked="0" layoutInCell="1" allowOverlap="1" wp14:anchorId="16592A2E" wp14:editId="3616AE7E">
            <wp:simplePos x="0" y="0"/>
            <wp:positionH relativeFrom="column">
              <wp:posOffset>4728210</wp:posOffset>
            </wp:positionH>
            <wp:positionV relativeFrom="paragraph">
              <wp:posOffset>184785</wp:posOffset>
            </wp:positionV>
            <wp:extent cx="1733550" cy="1784985"/>
            <wp:effectExtent l="0" t="0" r="0" b="5715"/>
            <wp:wrapTight wrapText="bothSides">
              <wp:wrapPolygon edited="0">
                <wp:start x="0" y="0"/>
                <wp:lineTo x="0" y="21439"/>
                <wp:lineTo x="21363" y="21439"/>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33550" cy="1784985"/>
                    </a:xfrm>
                    <a:prstGeom prst="rect">
                      <a:avLst/>
                    </a:prstGeom>
                  </pic:spPr>
                </pic:pic>
              </a:graphicData>
            </a:graphic>
            <wp14:sizeRelH relativeFrom="page">
              <wp14:pctWidth>0</wp14:pctWidth>
            </wp14:sizeRelH>
            <wp14:sizeRelV relativeFrom="page">
              <wp14:pctHeight>0</wp14:pctHeight>
            </wp14:sizeRelV>
          </wp:anchor>
        </w:drawing>
      </w:r>
      <w:r w:rsidR="00AF5B18">
        <w:rPr>
          <w:lang w:val="en-AU"/>
        </w:rPr>
        <w:t>Framework for Improving Student Outcomes (FISO</w:t>
      </w:r>
      <w:r>
        <w:rPr>
          <w:lang w:val="en-AU"/>
        </w:rPr>
        <w:t xml:space="preserve"> 2.0</w:t>
      </w:r>
      <w:r w:rsidR="00AF5B18">
        <w:rPr>
          <w:lang w:val="en-AU"/>
        </w:rPr>
        <w:t xml:space="preserve">) </w:t>
      </w:r>
    </w:p>
    <w:p w14:paraId="1CB50A2E" w14:textId="415E1C4F" w:rsidR="00AF5B18" w:rsidRDefault="004F5BF1" w:rsidP="00AF5B18">
      <w:pPr>
        <w:rPr>
          <w:noProof/>
        </w:rPr>
      </w:pPr>
      <w:r w:rsidRPr="004433D4">
        <w:rPr>
          <w:lang w:val="en-AU"/>
        </w:rPr>
        <w:t>Assessment is an integral part of the teaching and learning cycle.</w:t>
      </w:r>
      <w:r>
        <w:rPr>
          <w:lang w:val="en-AU"/>
        </w:rPr>
        <w:t xml:space="preserve"> </w:t>
      </w:r>
      <w:r w:rsidR="00AF5B18" w:rsidRPr="004433D4">
        <w:rPr>
          <w:lang w:val="en-AU"/>
        </w:rPr>
        <w:t xml:space="preserve">The Insight Assessment Platform </w:t>
      </w:r>
      <w:r w:rsidR="009858F0">
        <w:rPr>
          <w:lang w:val="en-AU"/>
        </w:rPr>
        <w:t xml:space="preserve">provides support to schools to strengthen </w:t>
      </w:r>
      <w:r w:rsidR="00C55DAD">
        <w:rPr>
          <w:lang w:val="en-AU"/>
        </w:rPr>
        <w:t xml:space="preserve">the assessment of student learning. </w:t>
      </w:r>
      <w:r w:rsidR="00BA0EF0">
        <w:rPr>
          <w:lang w:val="en-AU"/>
        </w:rPr>
        <w:t xml:space="preserve">FISO 2.0 sets out 5 cores elements that together realise the goals of excellence and equity through developing the learning and wellbeing of every Victorian student. </w:t>
      </w:r>
      <w:r w:rsidR="001B550E">
        <w:rPr>
          <w:lang w:val="en-AU"/>
        </w:rPr>
        <w:t xml:space="preserve">‘Assessment’ is identified </w:t>
      </w:r>
      <w:r w:rsidR="00CA6739">
        <w:rPr>
          <w:lang w:val="en-AU"/>
        </w:rPr>
        <w:t xml:space="preserve">as one of the 5 core elements </w:t>
      </w:r>
      <w:r w:rsidR="00807AAA">
        <w:rPr>
          <w:lang w:val="en-AU"/>
        </w:rPr>
        <w:t xml:space="preserve">that make the most difference to student outcomes. </w:t>
      </w:r>
    </w:p>
    <w:p w14:paraId="4AA494A4" w14:textId="04E85694" w:rsidR="00E73F86" w:rsidRPr="002E0966" w:rsidRDefault="00E73F86" w:rsidP="00AF5B18">
      <w:pPr>
        <w:rPr>
          <w:lang w:val="en-AU"/>
        </w:rPr>
      </w:pPr>
      <w:r>
        <w:rPr>
          <w:noProof/>
        </w:rPr>
        <w:t xml:space="preserve">For more information please visit the Department’s </w:t>
      </w:r>
      <w:hyperlink r:id="rId13" w:history="1">
        <w:r w:rsidRPr="002B2FD5">
          <w:rPr>
            <w:rStyle w:val="Hyperlink"/>
            <w:noProof/>
          </w:rPr>
          <w:t>Framework for Improving Student Outcomes 2.0</w:t>
        </w:r>
      </w:hyperlink>
      <w:r>
        <w:rPr>
          <w:noProof/>
        </w:rPr>
        <w:t xml:space="preserve"> policy. </w:t>
      </w:r>
    </w:p>
    <w:p w14:paraId="023ECC37" w14:textId="14712BCC" w:rsidR="00AF5B18" w:rsidRDefault="00AF5B18" w:rsidP="007D40FC">
      <w:pPr>
        <w:pStyle w:val="Copyrighttext"/>
      </w:pPr>
    </w:p>
    <w:p w14:paraId="7A630F33" w14:textId="0A507A2F" w:rsidR="00AF5B18" w:rsidRDefault="00AF5B18" w:rsidP="007D40FC">
      <w:pPr>
        <w:pStyle w:val="Copyrighttext"/>
      </w:pPr>
    </w:p>
    <w:p w14:paraId="0B1E7514" w14:textId="1FE2DABD" w:rsidR="00AF5B18" w:rsidRDefault="00AF5B18" w:rsidP="007D40FC">
      <w:pPr>
        <w:pStyle w:val="Copyrighttext"/>
      </w:pPr>
    </w:p>
    <w:p w14:paraId="240064E1" w14:textId="77777777" w:rsidR="00AF5B18" w:rsidRDefault="00AF5B18" w:rsidP="00AF5B18">
      <w:pPr>
        <w:spacing w:after="0"/>
        <w:rPr>
          <w:lang w:val="en-AU"/>
        </w:rPr>
      </w:pPr>
    </w:p>
    <w:p w14:paraId="275208FF" w14:textId="35F7CCF5" w:rsidR="00946FE6" w:rsidRDefault="00946FE6" w:rsidP="00AF5B18">
      <w:pPr>
        <w:jc w:val="both"/>
        <w:rPr>
          <w:lang w:val="en-AU"/>
        </w:rPr>
      </w:pPr>
    </w:p>
    <w:p w14:paraId="608F9D01" w14:textId="0B085E27" w:rsidR="00AF5B18" w:rsidRDefault="00AF5B18" w:rsidP="007D40FC">
      <w:pPr>
        <w:pStyle w:val="Copyrighttext"/>
      </w:pPr>
    </w:p>
    <w:p w14:paraId="0DB720BC" w14:textId="75CB1B4F" w:rsidR="00AF5B18" w:rsidRDefault="00AF5B18" w:rsidP="007D40FC">
      <w:pPr>
        <w:pStyle w:val="Copyrighttext"/>
      </w:pPr>
    </w:p>
    <w:p w14:paraId="70019B6C" w14:textId="5A0181E2" w:rsidR="00AF5B18" w:rsidRDefault="00AF5B18" w:rsidP="007D40FC">
      <w:pPr>
        <w:pStyle w:val="Copyrighttext"/>
      </w:pPr>
    </w:p>
    <w:p w14:paraId="0BD42982" w14:textId="39AD2378" w:rsidR="00AF5B18" w:rsidRDefault="00AF5B18" w:rsidP="007D40FC">
      <w:pPr>
        <w:pStyle w:val="Copyrighttext"/>
      </w:pPr>
    </w:p>
    <w:p w14:paraId="3950F060" w14:textId="634CA937" w:rsidR="00122369" w:rsidRPr="00E34721" w:rsidRDefault="00122369" w:rsidP="007D40FC">
      <w:pPr>
        <w:pStyle w:val="Copyrighttext"/>
        <w:rPr>
          <w:rFonts w:cstheme="minorHAnsi"/>
        </w:rPr>
      </w:pPr>
    </w:p>
    <w:sectPr w:rsidR="00122369" w:rsidRPr="00E3472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0AFB" w14:textId="77777777" w:rsidR="00B66603" w:rsidRDefault="00B66603" w:rsidP="003967DD">
      <w:pPr>
        <w:spacing w:after="0"/>
      </w:pPr>
      <w:r>
        <w:separator/>
      </w:r>
    </w:p>
  </w:endnote>
  <w:endnote w:type="continuationSeparator" w:id="0">
    <w:p w14:paraId="3EE8123A" w14:textId="77777777" w:rsidR="00B66603" w:rsidRDefault="00B6660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2BF5" w14:textId="73C0FB01" w:rsidR="00F67BBA" w:rsidRDefault="00F67BBA" w:rsidP="00F67BBA">
    <w:pPr>
      <w:pStyle w:val="Copyrighttext"/>
    </w:pPr>
  </w:p>
  <w:p w14:paraId="0CD3DEB7" w14:textId="6F423718" w:rsidR="00A31926" w:rsidRPr="00E538F9" w:rsidRDefault="00F67BBA" w:rsidP="00023A81">
    <w:pPr>
      <w:pStyle w:val="Copyrighttext"/>
      <w:rPr>
        <w:rFonts w:cstheme="minorHAnsi"/>
      </w:rPr>
    </w:pPr>
    <w:r w:rsidRPr="001105FA">
      <w:t xml:space="preserve">© State of Victoria (Department of Education and </w:t>
    </w:r>
    <w:r w:rsidRPr="00AF5B18">
      <w:t>Training) 202</w:t>
    </w:r>
    <w:r>
      <w:t>2</w:t>
    </w:r>
    <w:r w:rsidRPr="00AF5B18">
      <w:t xml:space="preserve">. </w:t>
    </w:r>
    <w:r w:rsidRPr="00AF5B18">
      <w:rPr>
        <w:rFonts w:cstheme="minorHAnsi"/>
        <w:color w:val="000000"/>
      </w:rPr>
      <w:t>Except</w:t>
    </w:r>
    <w:r w:rsidRPr="00E34721">
      <w:rPr>
        <w:rFonts w:cstheme="minorHAnsi"/>
        <w:color w:val="000000"/>
      </w:rPr>
      <w:t xml:space="preserve"> where otherwise </w:t>
    </w:r>
    <w:hyperlink r:id="rId1"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t xml:space="preserve"> </w:t>
    </w:r>
    <w:hyperlink r:id="rId2"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3" w:history="1">
      <w:r w:rsidRPr="00E34721">
        <w:rPr>
          <w:rStyle w:val="Hyperlink"/>
          <w:rFonts w:cstheme="minorHAnsi"/>
        </w:rPr>
        <w:t>copyright notice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254A" w14:textId="77777777" w:rsidR="00B66603" w:rsidRDefault="00B66603" w:rsidP="003967DD">
      <w:pPr>
        <w:spacing w:after="0"/>
      </w:pPr>
      <w:r>
        <w:separator/>
      </w:r>
    </w:p>
  </w:footnote>
  <w:footnote w:type="continuationSeparator" w:id="0">
    <w:p w14:paraId="0A2172E0" w14:textId="77777777" w:rsidR="00B66603" w:rsidRDefault="00B6660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8352702" w:rsidR="003967DD" w:rsidRDefault="000861DD" w:rsidP="00191B89">
    <w:pPr>
      <w:pStyle w:val="Header"/>
    </w:pPr>
    <w:r>
      <w:rPr>
        <w:noProof/>
      </w:rPr>
      <w:drawing>
        <wp:anchor distT="0" distB="0" distL="114300" distR="114300" simplePos="0" relativeHeight="251658240" behindDoc="1" locked="0" layoutInCell="1" allowOverlap="1" wp14:anchorId="7CE31918" wp14:editId="6DAE652F">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r w:rsidR="000537E4">
      <w:tab/>
    </w:r>
    <w:r w:rsidR="00191B89">
      <w:tab/>
    </w:r>
    <w:r w:rsidR="00191B89">
      <w:tab/>
    </w:r>
    <w:r w:rsidR="008335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422B1A"/>
    <w:multiLevelType w:val="hybridMultilevel"/>
    <w:tmpl w:val="D872485A"/>
    <w:lvl w:ilvl="0" w:tplc="24E01C8E">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14FEE"/>
    <w:multiLevelType w:val="hybridMultilevel"/>
    <w:tmpl w:val="6B76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245195"/>
    <w:multiLevelType w:val="hybridMultilevel"/>
    <w:tmpl w:val="FF9CB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1636"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62AD8"/>
    <w:multiLevelType w:val="hybridMultilevel"/>
    <w:tmpl w:val="7A548BDC"/>
    <w:lvl w:ilvl="0" w:tplc="37729F7A">
      <w:start w:val="1"/>
      <w:numFmt w:val="bullet"/>
      <w:pStyle w:val="ESBulletsinTable"/>
      <w:suff w:val="space"/>
      <w:lvlText w:val=""/>
      <w:lvlJc w:val="left"/>
      <w:pPr>
        <w:ind w:left="714" w:hanging="357"/>
      </w:pPr>
      <w:rPr>
        <w:rFonts w:ascii="Symbol" w:hAnsi="Symbol" w:hint="default"/>
        <w:color w:val="AF272F"/>
      </w:rPr>
    </w:lvl>
    <w:lvl w:ilvl="1" w:tplc="2B14FD5E">
      <w:start w:val="1"/>
      <w:numFmt w:val="bullet"/>
      <w:lvlText w:val="o"/>
      <w:lvlJc w:val="left"/>
      <w:pPr>
        <w:ind w:left="5037" w:hanging="360"/>
      </w:pPr>
      <w:rPr>
        <w:rFonts w:ascii="Courier New" w:hAnsi="Courier New" w:cs="Courier New" w:hint="default"/>
      </w:rPr>
    </w:lvl>
    <w:lvl w:ilvl="2" w:tplc="04090005" w:tentative="1">
      <w:start w:val="1"/>
      <w:numFmt w:val="bullet"/>
      <w:lvlText w:val=""/>
      <w:lvlJc w:val="left"/>
      <w:pPr>
        <w:ind w:left="5757" w:hanging="360"/>
      </w:pPr>
      <w:rPr>
        <w:rFonts w:ascii="Wingdings" w:hAnsi="Wingdings" w:hint="default"/>
      </w:rPr>
    </w:lvl>
    <w:lvl w:ilvl="3" w:tplc="04090001" w:tentative="1">
      <w:start w:val="1"/>
      <w:numFmt w:val="bullet"/>
      <w:lvlText w:val=""/>
      <w:lvlJc w:val="left"/>
      <w:pPr>
        <w:ind w:left="6477" w:hanging="360"/>
      </w:pPr>
      <w:rPr>
        <w:rFonts w:ascii="Symbol" w:hAnsi="Symbol" w:hint="default"/>
      </w:rPr>
    </w:lvl>
    <w:lvl w:ilvl="4" w:tplc="04090003" w:tentative="1">
      <w:start w:val="1"/>
      <w:numFmt w:val="bullet"/>
      <w:lvlText w:val="o"/>
      <w:lvlJc w:val="left"/>
      <w:pPr>
        <w:ind w:left="7197" w:hanging="360"/>
      </w:pPr>
      <w:rPr>
        <w:rFonts w:ascii="Courier New" w:hAnsi="Courier New" w:cs="Courier New" w:hint="default"/>
      </w:rPr>
    </w:lvl>
    <w:lvl w:ilvl="5" w:tplc="04090005" w:tentative="1">
      <w:start w:val="1"/>
      <w:numFmt w:val="bullet"/>
      <w:lvlText w:val=""/>
      <w:lvlJc w:val="left"/>
      <w:pPr>
        <w:ind w:left="7917" w:hanging="360"/>
      </w:pPr>
      <w:rPr>
        <w:rFonts w:ascii="Wingdings" w:hAnsi="Wingdings" w:hint="default"/>
      </w:rPr>
    </w:lvl>
    <w:lvl w:ilvl="6" w:tplc="04090001" w:tentative="1">
      <w:start w:val="1"/>
      <w:numFmt w:val="bullet"/>
      <w:lvlText w:val=""/>
      <w:lvlJc w:val="left"/>
      <w:pPr>
        <w:ind w:left="8637" w:hanging="360"/>
      </w:pPr>
      <w:rPr>
        <w:rFonts w:ascii="Symbol" w:hAnsi="Symbol" w:hint="default"/>
      </w:rPr>
    </w:lvl>
    <w:lvl w:ilvl="7" w:tplc="04090003" w:tentative="1">
      <w:start w:val="1"/>
      <w:numFmt w:val="bullet"/>
      <w:lvlText w:val="o"/>
      <w:lvlJc w:val="left"/>
      <w:pPr>
        <w:ind w:left="9357" w:hanging="360"/>
      </w:pPr>
      <w:rPr>
        <w:rFonts w:ascii="Courier New" w:hAnsi="Courier New" w:cs="Courier New" w:hint="default"/>
      </w:rPr>
    </w:lvl>
    <w:lvl w:ilvl="8" w:tplc="04090005" w:tentative="1">
      <w:start w:val="1"/>
      <w:numFmt w:val="bullet"/>
      <w:lvlText w:val=""/>
      <w:lvlJc w:val="left"/>
      <w:pPr>
        <w:ind w:left="10077" w:hanging="360"/>
      </w:pPr>
      <w:rPr>
        <w:rFonts w:ascii="Wingdings" w:hAnsi="Wingdings" w:hint="default"/>
      </w:rPr>
    </w:lvl>
  </w:abstractNum>
  <w:num w:numId="1" w16cid:durableId="710612323">
    <w:abstractNumId w:val="0"/>
  </w:num>
  <w:num w:numId="2" w16cid:durableId="1744717707">
    <w:abstractNumId w:val="1"/>
  </w:num>
  <w:num w:numId="3" w16cid:durableId="860360228">
    <w:abstractNumId w:val="2"/>
  </w:num>
  <w:num w:numId="4" w16cid:durableId="1829008273">
    <w:abstractNumId w:val="3"/>
  </w:num>
  <w:num w:numId="5" w16cid:durableId="498228329">
    <w:abstractNumId w:val="4"/>
  </w:num>
  <w:num w:numId="6" w16cid:durableId="754210887">
    <w:abstractNumId w:val="9"/>
  </w:num>
  <w:num w:numId="7" w16cid:durableId="1176963517">
    <w:abstractNumId w:val="5"/>
  </w:num>
  <w:num w:numId="8" w16cid:durableId="2097558413">
    <w:abstractNumId w:val="6"/>
  </w:num>
  <w:num w:numId="9" w16cid:durableId="850528418">
    <w:abstractNumId w:val="7"/>
  </w:num>
  <w:num w:numId="10" w16cid:durableId="1444181836">
    <w:abstractNumId w:val="8"/>
  </w:num>
  <w:num w:numId="11" w16cid:durableId="1155492246">
    <w:abstractNumId w:val="10"/>
  </w:num>
  <w:num w:numId="12" w16cid:durableId="1954437512">
    <w:abstractNumId w:val="14"/>
  </w:num>
  <w:num w:numId="13" w16cid:durableId="1904557437">
    <w:abstractNumId w:val="18"/>
  </w:num>
  <w:num w:numId="14" w16cid:durableId="1349791549">
    <w:abstractNumId w:val="19"/>
  </w:num>
  <w:num w:numId="15" w16cid:durableId="1999264988">
    <w:abstractNumId w:val="12"/>
  </w:num>
  <w:num w:numId="16" w16cid:durableId="363601067">
    <w:abstractNumId w:val="16"/>
  </w:num>
  <w:num w:numId="17" w16cid:durableId="353770225">
    <w:abstractNumId w:val="13"/>
  </w:num>
  <w:num w:numId="18" w16cid:durableId="1426995862">
    <w:abstractNumId w:val="17"/>
  </w:num>
  <w:num w:numId="19" w16cid:durableId="1249192389">
    <w:abstractNumId w:val="15"/>
  </w:num>
  <w:num w:numId="20" w16cid:durableId="940919871">
    <w:abstractNumId w:val="20"/>
  </w:num>
  <w:num w:numId="21" w16cid:durableId="440996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3A81"/>
    <w:rsid w:val="000256E2"/>
    <w:rsid w:val="000537E4"/>
    <w:rsid w:val="00064746"/>
    <w:rsid w:val="00080DA9"/>
    <w:rsid w:val="000861DD"/>
    <w:rsid w:val="000A47D4"/>
    <w:rsid w:val="000C600E"/>
    <w:rsid w:val="00122369"/>
    <w:rsid w:val="00150E0F"/>
    <w:rsid w:val="00157212"/>
    <w:rsid w:val="0016287D"/>
    <w:rsid w:val="00191B89"/>
    <w:rsid w:val="001B550E"/>
    <w:rsid w:val="001D0D94"/>
    <w:rsid w:val="001D13F9"/>
    <w:rsid w:val="001D5016"/>
    <w:rsid w:val="001F39DD"/>
    <w:rsid w:val="00241688"/>
    <w:rsid w:val="00250578"/>
    <w:rsid w:val="002512BE"/>
    <w:rsid w:val="00252D68"/>
    <w:rsid w:val="00265A07"/>
    <w:rsid w:val="00275FB8"/>
    <w:rsid w:val="002A4A96"/>
    <w:rsid w:val="002A4D16"/>
    <w:rsid w:val="002B2FD5"/>
    <w:rsid w:val="002E3BED"/>
    <w:rsid w:val="002F41D7"/>
    <w:rsid w:val="002F6115"/>
    <w:rsid w:val="00312720"/>
    <w:rsid w:val="00331767"/>
    <w:rsid w:val="00343AFC"/>
    <w:rsid w:val="0034745C"/>
    <w:rsid w:val="00381EE8"/>
    <w:rsid w:val="003967DD"/>
    <w:rsid w:val="003A4C39"/>
    <w:rsid w:val="003E163C"/>
    <w:rsid w:val="003E56EB"/>
    <w:rsid w:val="0042333B"/>
    <w:rsid w:val="00443E58"/>
    <w:rsid w:val="00490CE7"/>
    <w:rsid w:val="004A2E74"/>
    <w:rsid w:val="004B2ED6"/>
    <w:rsid w:val="004F5BF1"/>
    <w:rsid w:val="00500ADA"/>
    <w:rsid w:val="00512BBA"/>
    <w:rsid w:val="005532DD"/>
    <w:rsid w:val="00555277"/>
    <w:rsid w:val="00567CF0"/>
    <w:rsid w:val="00584366"/>
    <w:rsid w:val="005A4F12"/>
    <w:rsid w:val="005E0713"/>
    <w:rsid w:val="00624A55"/>
    <w:rsid w:val="006523D7"/>
    <w:rsid w:val="00660FB7"/>
    <w:rsid w:val="006671CE"/>
    <w:rsid w:val="006A1925"/>
    <w:rsid w:val="006A1F8A"/>
    <w:rsid w:val="006A25AC"/>
    <w:rsid w:val="006C45C0"/>
    <w:rsid w:val="006E2B9A"/>
    <w:rsid w:val="00710CED"/>
    <w:rsid w:val="00735566"/>
    <w:rsid w:val="00747C58"/>
    <w:rsid w:val="00767573"/>
    <w:rsid w:val="007B556E"/>
    <w:rsid w:val="007D3E38"/>
    <w:rsid w:val="007D40FC"/>
    <w:rsid w:val="008065DA"/>
    <w:rsid w:val="00807AAA"/>
    <w:rsid w:val="00833599"/>
    <w:rsid w:val="008367C3"/>
    <w:rsid w:val="00890680"/>
    <w:rsid w:val="00892E24"/>
    <w:rsid w:val="008B1737"/>
    <w:rsid w:val="008F3D35"/>
    <w:rsid w:val="008F78DC"/>
    <w:rsid w:val="00946FE6"/>
    <w:rsid w:val="00952690"/>
    <w:rsid w:val="00954B9A"/>
    <w:rsid w:val="009858F0"/>
    <w:rsid w:val="0099358C"/>
    <w:rsid w:val="009D310F"/>
    <w:rsid w:val="009E4A60"/>
    <w:rsid w:val="009F6A77"/>
    <w:rsid w:val="00A31926"/>
    <w:rsid w:val="00A710DF"/>
    <w:rsid w:val="00A9683C"/>
    <w:rsid w:val="00AF5B18"/>
    <w:rsid w:val="00B21562"/>
    <w:rsid w:val="00B66603"/>
    <w:rsid w:val="00B775D4"/>
    <w:rsid w:val="00B928A6"/>
    <w:rsid w:val="00BA0A1A"/>
    <w:rsid w:val="00BA0EF0"/>
    <w:rsid w:val="00BA34BA"/>
    <w:rsid w:val="00BF3E5A"/>
    <w:rsid w:val="00C12032"/>
    <w:rsid w:val="00C539BB"/>
    <w:rsid w:val="00C55DAD"/>
    <w:rsid w:val="00C92AA1"/>
    <w:rsid w:val="00CA6739"/>
    <w:rsid w:val="00CC5AA8"/>
    <w:rsid w:val="00CD5993"/>
    <w:rsid w:val="00CE7916"/>
    <w:rsid w:val="00D17E55"/>
    <w:rsid w:val="00D83DC6"/>
    <w:rsid w:val="00D9777A"/>
    <w:rsid w:val="00DC0EF6"/>
    <w:rsid w:val="00DC4D0D"/>
    <w:rsid w:val="00DE45EF"/>
    <w:rsid w:val="00DF1F08"/>
    <w:rsid w:val="00E06469"/>
    <w:rsid w:val="00E076C2"/>
    <w:rsid w:val="00E34263"/>
    <w:rsid w:val="00E34721"/>
    <w:rsid w:val="00E41E73"/>
    <w:rsid w:val="00E4317E"/>
    <w:rsid w:val="00E47519"/>
    <w:rsid w:val="00E5030B"/>
    <w:rsid w:val="00E538F9"/>
    <w:rsid w:val="00E64758"/>
    <w:rsid w:val="00E73F86"/>
    <w:rsid w:val="00E77EB9"/>
    <w:rsid w:val="00E84DA4"/>
    <w:rsid w:val="00F5271F"/>
    <w:rsid w:val="00F67BBA"/>
    <w:rsid w:val="00F7089F"/>
    <w:rsid w:val="00F86A1F"/>
    <w:rsid w:val="00F94715"/>
    <w:rsid w:val="00FA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BalloonText">
    <w:name w:val="Balloon Text"/>
    <w:basedOn w:val="Normal"/>
    <w:link w:val="BalloonTextChar"/>
    <w:uiPriority w:val="99"/>
    <w:semiHidden/>
    <w:unhideWhenUsed/>
    <w:rsid w:val="00AF5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B18"/>
    <w:rPr>
      <w:rFonts w:ascii="Segoe UI" w:hAnsi="Segoe UI" w:cs="Segoe UI"/>
      <w:sz w:val="18"/>
      <w:szCs w:val="18"/>
    </w:rPr>
  </w:style>
  <w:style w:type="paragraph" w:styleId="ListParagraph">
    <w:name w:val="List Paragraph"/>
    <w:basedOn w:val="Normal"/>
    <w:uiPriority w:val="34"/>
    <w:qFormat/>
    <w:rsid w:val="00AF5B18"/>
    <w:pPr>
      <w:ind w:left="720"/>
      <w:contextualSpacing/>
    </w:pPr>
  </w:style>
  <w:style w:type="paragraph" w:styleId="TOC1">
    <w:name w:val="toc 1"/>
    <w:basedOn w:val="Normal"/>
    <w:next w:val="Normal"/>
    <w:autoRedefine/>
    <w:uiPriority w:val="39"/>
    <w:unhideWhenUsed/>
    <w:rsid w:val="00AF5B18"/>
    <w:pPr>
      <w:spacing w:after="100" w:line="240" w:lineRule="atLeast"/>
    </w:pPr>
    <w:rPr>
      <w:rFonts w:ascii="Arial" w:eastAsiaTheme="minorEastAsia" w:hAnsi="Arial" w:cs="Arial"/>
      <w:sz w:val="18"/>
      <w:szCs w:val="18"/>
      <w:lang w:val="en-US"/>
    </w:rPr>
  </w:style>
  <w:style w:type="paragraph" w:styleId="TOC2">
    <w:name w:val="toc 2"/>
    <w:basedOn w:val="Normal"/>
    <w:next w:val="Normal"/>
    <w:autoRedefine/>
    <w:uiPriority w:val="39"/>
    <w:unhideWhenUsed/>
    <w:rsid w:val="00C92AA1"/>
    <w:pPr>
      <w:tabs>
        <w:tab w:val="right" w:leader="dot" w:pos="9849"/>
      </w:tabs>
      <w:spacing w:line="240" w:lineRule="atLeast"/>
      <w:ind w:left="180"/>
    </w:pPr>
    <w:rPr>
      <w:rFonts w:ascii="Arial" w:eastAsiaTheme="minorEastAsia" w:hAnsi="Arial" w:cs="Arial"/>
      <w:sz w:val="18"/>
      <w:szCs w:val="18"/>
      <w:lang w:val="en-US"/>
    </w:rPr>
  </w:style>
  <w:style w:type="paragraph" w:customStyle="1" w:styleId="ESBulletsinTable">
    <w:name w:val="ES_Bullets in Table"/>
    <w:basedOn w:val="ListParagraph"/>
    <w:qFormat/>
    <w:rsid w:val="00AF5B18"/>
    <w:pPr>
      <w:numPr>
        <w:numId w:val="20"/>
      </w:numPr>
      <w:spacing w:after="80"/>
    </w:pPr>
    <w:rPr>
      <w:rFonts w:ascii="Arial" w:eastAsia="Arial" w:hAnsi="Arial" w:cs="Times New Roman"/>
      <w:sz w:val="18"/>
      <w:szCs w:val="22"/>
      <w:lang w:val="en-AU"/>
    </w:rPr>
  </w:style>
  <w:style w:type="character" w:styleId="CommentReference">
    <w:name w:val="annotation reference"/>
    <w:basedOn w:val="DefaultParagraphFont"/>
    <w:uiPriority w:val="99"/>
    <w:semiHidden/>
    <w:unhideWhenUsed/>
    <w:rsid w:val="003E56EB"/>
    <w:rPr>
      <w:sz w:val="16"/>
      <w:szCs w:val="16"/>
    </w:rPr>
  </w:style>
  <w:style w:type="paragraph" w:styleId="CommentText">
    <w:name w:val="annotation text"/>
    <w:basedOn w:val="Normal"/>
    <w:link w:val="CommentTextChar"/>
    <w:uiPriority w:val="99"/>
    <w:semiHidden/>
    <w:unhideWhenUsed/>
    <w:rsid w:val="003E56EB"/>
    <w:rPr>
      <w:sz w:val="20"/>
      <w:szCs w:val="20"/>
    </w:rPr>
  </w:style>
  <w:style w:type="character" w:customStyle="1" w:styleId="CommentTextChar">
    <w:name w:val="Comment Text Char"/>
    <w:basedOn w:val="DefaultParagraphFont"/>
    <w:link w:val="CommentText"/>
    <w:uiPriority w:val="99"/>
    <w:semiHidden/>
    <w:rsid w:val="003E56EB"/>
    <w:rPr>
      <w:sz w:val="20"/>
      <w:szCs w:val="20"/>
    </w:rPr>
  </w:style>
  <w:style w:type="paragraph" w:styleId="CommentSubject">
    <w:name w:val="annotation subject"/>
    <w:basedOn w:val="CommentText"/>
    <w:next w:val="CommentText"/>
    <w:link w:val="CommentSubjectChar"/>
    <w:uiPriority w:val="99"/>
    <w:semiHidden/>
    <w:unhideWhenUsed/>
    <w:rsid w:val="003E56EB"/>
    <w:rPr>
      <w:b/>
      <w:bCs/>
    </w:rPr>
  </w:style>
  <w:style w:type="character" w:customStyle="1" w:styleId="CommentSubjectChar">
    <w:name w:val="Comment Subject Char"/>
    <w:basedOn w:val="CommentTextChar"/>
    <w:link w:val="CommentSubject"/>
    <w:uiPriority w:val="99"/>
    <w:semiHidden/>
    <w:rsid w:val="003E56EB"/>
    <w:rPr>
      <w:b/>
      <w:bCs/>
      <w:sz w:val="20"/>
      <w:szCs w:val="20"/>
    </w:rPr>
  </w:style>
  <w:style w:type="paragraph" w:styleId="Revision">
    <w:name w:val="Revision"/>
    <w:hidden/>
    <w:uiPriority w:val="99"/>
    <w:semiHidden/>
    <w:rsid w:val="000537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fiso/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f-10assessment/insight/Pages/index.aspx?Redirect=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Updated_MOI_ Information_Guide_May_2022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CD0DCD-27B8-4E0F-BD3F-296315522B7D}"/>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Ashima Mukherjee</cp:lastModifiedBy>
  <cp:revision>3</cp:revision>
  <dcterms:created xsi:type="dcterms:W3CDTF">2022-06-29T00:46:00Z</dcterms:created>
  <dcterms:modified xsi:type="dcterms:W3CDTF">2022-07-04T02:15:00Z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{4b0df1fd-a516-4cf1-9d7f-9da059ca0191}</vt:lpwstr>
  </property>
  <property fmtid="{D5CDD505-2E9C-101B-9397-08002B2CF9AE}" pid="6" name="RecordPoint_ActiveItemUniqueId">
    <vt:lpwstr>{1997415d-d999-406f-9048-28437f1604e4}</vt:lpwstr>
  </property>
  <property fmtid="{D5CDD505-2E9C-101B-9397-08002B2CF9AE}" pid="7" name="RecordPoint_ActiveItemWebId">
    <vt:lpwstr>{1697feb4-41be-4414-9a7d-fe2ac66ee798}</vt:lpwstr>
  </property>
  <property fmtid="{D5CDD505-2E9C-101B-9397-08002B2CF9AE}" pid="8" name="RecordPoint_SubmissionDate">
    <vt:lpwstr/>
  </property>
  <property fmtid="{D5CDD505-2E9C-101B-9397-08002B2CF9AE}" pid="9" name="RecordPoint_RecordNumberSubmitted">
    <vt:lpwstr>R20220314353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2022-06-21T14:14:06.0713296+10:00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